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7BF4" w:rsidRDefault="00517BF4">
      <w:pPr>
        <w:rPr>
          <w:b/>
          <w:sz w:val="48"/>
          <w:szCs w:val="48"/>
        </w:rPr>
      </w:pPr>
      <w:bookmarkStart w:id="0" w:name="_heading=h.gjdgxs" w:colFirst="0" w:colLast="0"/>
      <w:bookmarkEnd w:id="0"/>
    </w:p>
    <w:p w14:paraId="00000002" w14:textId="77777777" w:rsidR="00517BF4" w:rsidRDefault="00000000">
      <w:pPr>
        <w:ind w:right="439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1" w:name="_heading=h.s1ki8snw6r8z" w:colFirst="0" w:colLast="0"/>
      <w:bookmarkEnd w:id="1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Соглашение </w:t>
      </w:r>
    </w:p>
    <w:p w14:paraId="00000003" w14:textId="77777777" w:rsidR="00517BF4" w:rsidRDefault="00000000">
      <w:pPr>
        <w:ind w:right="439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2" w:name="_heading=h.f90kolt5adry" w:colFirst="0" w:colLast="0"/>
      <w:bookmarkEnd w:id="2"/>
      <w:r>
        <w:rPr>
          <w:rFonts w:ascii="Times New Roman" w:eastAsia="Times New Roman" w:hAnsi="Times New Roman" w:cs="Times New Roman"/>
          <w:b/>
          <w:sz w:val="44"/>
          <w:szCs w:val="44"/>
        </w:rPr>
        <w:t>о конфиденциальности № ____</w:t>
      </w:r>
    </w:p>
    <w:p w14:paraId="00000004" w14:textId="77777777" w:rsidR="00517BF4" w:rsidRDefault="00517BF4">
      <w:pPr>
        <w:spacing w:after="240"/>
        <w:ind w:left="709"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17BF4" w:rsidRDefault="00000000">
      <w:pPr>
        <w:ind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14:paraId="00000006" w14:textId="77777777" w:rsidR="00517BF4" w:rsidRDefault="00517BF4">
      <w:pPr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17BF4" w:rsidRDefault="00000000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 2023 г.</w:t>
      </w:r>
    </w:p>
    <w:p w14:paraId="00000008" w14:textId="77777777" w:rsidR="00517BF4" w:rsidRDefault="00517BF4">
      <w:pPr>
        <w:ind w:left="709"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7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85"/>
      </w:tblGrid>
      <w:tr w:rsidR="00517BF4" w14:paraId="07E9D7BB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Раскрывающая сторона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«СОДИС ЛАБ»</w:t>
            </w:r>
          </w:p>
        </w:tc>
      </w:tr>
      <w:tr w:rsidR="00517BF4" w14:paraId="3105C979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Принимающая сторона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0000000E" w14:textId="77777777" w:rsidR="00517BF4" w:rsidRDefault="00000000">
      <w:pPr>
        <w:spacing w:before="200" w:after="240"/>
        <w:ind w:right="4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совместно именуемые Стороны, заключили соглашение о конфиденциальности (далее – Соглашение) о следующем:</w:t>
      </w:r>
    </w:p>
    <w:p w14:paraId="0000000F" w14:textId="77777777" w:rsidR="00517BF4" w:rsidRDefault="00517BF4">
      <w:p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</w:p>
    <w:p w14:paraId="00000011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передает Принимающей стороне конфиденциальную информацию (далее – Конфиденциальная информация), которую Принимающая сторона обязуется использовать в соответствии с Соглашением и не разглашать третьим лицам.</w:t>
      </w:r>
    </w:p>
    <w:p w14:paraId="00000012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00000013" w14:textId="77777777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Конфиденциальной информации относятся:</w:t>
      </w:r>
    </w:p>
    <w:p w14:paraId="00000014" w14:textId="77777777" w:rsidR="00517BF4" w:rsidRPr="00691D63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переписку, если она помечена словом «конфиденциально»;</w:t>
      </w:r>
    </w:p>
    <w:p w14:paraId="5699ACF7" w14:textId="73D09FBA" w:rsidR="00691D63" w:rsidRPr="00691D63" w:rsidRDefault="00691D63" w:rsidP="00691D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63">
        <w:rPr>
          <w:rFonts w:ascii="Times New Roman" w:eastAsia="Times New Roman" w:hAnsi="Times New Roman" w:cs="Times New Roman"/>
          <w:sz w:val="24"/>
          <w:szCs w:val="24"/>
        </w:rPr>
        <w:t xml:space="preserve">стандарты, регламенты, база знаний, инструкции, онлайн-курсы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Раскрывающей стороны</w:t>
      </w:r>
      <w:r w:rsidRPr="00691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FA257B" w14:textId="4A7AEDFC" w:rsidR="00691D63" w:rsidRPr="00691D63" w:rsidRDefault="00691D63" w:rsidP="00691D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63">
        <w:rPr>
          <w:rFonts w:ascii="Times New Roman" w:eastAsia="Times New Roman" w:hAnsi="Times New Roman" w:cs="Times New Roman"/>
          <w:sz w:val="24"/>
          <w:szCs w:val="24"/>
        </w:rPr>
        <w:t xml:space="preserve">параметры доступа к информационным системам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Раскрывающей стороны</w:t>
      </w:r>
      <w:r w:rsidRPr="00691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сведения, касающиеся основных направлений деятельности Заказчика, его действующих и стратегических планов, проектов, программ и т.п.;</w:t>
      </w:r>
    </w:p>
    <w:p w14:paraId="00000016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технических, программных и технологических разработках и решениях Заказчика;</w:t>
      </w:r>
    </w:p>
    <w:p w14:paraId="00000017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сведения о финансовом состоянии Заказчика, размерах получаемой прибыли, а также иные сведения финансового характера;</w:t>
      </w:r>
    </w:p>
    <w:p w14:paraId="00000018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сведения, касающиеся менеджмента Заказчика: используемые им управленческие наработки и решения, способы ведения дел, тактика и стратегия менеджмента т.п.;</w:t>
      </w:r>
    </w:p>
    <w:p w14:paraId="00000019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маркетинговой политике Заказчика: информация о рекламных кампаниях, имеющиеся у Заказчика стороны источники и используемые им способы привлечения клиентов и партнеров;</w:t>
      </w:r>
    </w:p>
    <w:p w14:paraId="0000001A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бывших, настоящих и потенциальных клиентах и партнерах Заказчика;</w:t>
      </w:r>
    </w:p>
    <w:p w14:paraId="0000001B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персональные данные о работниках Заказчика;</w:t>
      </w:r>
    </w:p>
    <w:p w14:paraId="0000001C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информация и документы, в отношении которых Заказчиком сделана оговорка об их конфиденциальности.</w:t>
      </w:r>
    </w:p>
    <w:p w14:paraId="0000001D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передачи</w:t>
      </w:r>
    </w:p>
    <w:p w14:paraId="0000001E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передает Принимающей стороне Конфиденциальную информацию следующими способами:</w:t>
      </w:r>
    </w:p>
    <w:p w14:paraId="0000001F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sz w:val="24"/>
          <w:szCs w:val="24"/>
        </w:rPr>
      </w:pPr>
      <w:sdt>
        <w:sdtPr>
          <w:tag w:val="goog_rdk_0"/>
          <w:id w:val="-403366100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по электронной почте;</w:t>
      </w:r>
    </w:p>
    <w:p w14:paraId="00000020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мессенджерах;</w:t>
      </w:r>
    </w:p>
    <w:p w14:paraId="22D477B6" w14:textId="279F772C" w:rsidR="006A2793" w:rsidRDefault="006A27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информационных системах Раскрывающей стороны;</w:t>
      </w:r>
    </w:p>
    <w:p w14:paraId="00000021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USB-носителях;</w:t>
      </w:r>
    </w:p>
    <w:p w14:paraId="00000022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иными способами, согласованными Сторонами по электронной почте.</w:t>
      </w:r>
    </w:p>
    <w:p w14:paraId="00000023" w14:textId="683C8989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согласовали следующие 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номера телефонов, привязанные к мессенджерам,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передачи Конфиденциальной информации:</w:t>
      </w:r>
    </w:p>
    <w:p w14:paraId="00000024" w14:textId="4FA8CE92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сторона: эл. почта _______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, телефон 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5" w14:textId="018C1F5D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сторона: эл. почта _______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, телефон 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вправе добавлять гриф “Конфиденциально” в:</w:t>
      </w:r>
    </w:p>
    <w:p w14:paraId="00000027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Конфиденциальную информацию;</w:t>
      </w:r>
    </w:p>
    <w:p w14:paraId="00000028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электронного письма.</w:t>
      </w:r>
    </w:p>
    <w:p w14:paraId="00000029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</w:p>
    <w:p w14:paraId="0000002A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защиты Конфиденциальной информации Принимающая сторона принимает все меры, предусмотренные законодательством РФ.</w:t>
      </w:r>
    </w:p>
    <w:p w14:paraId="0000002B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Принимающая сторона вправе предоставить Конфиденциальную информацию третьим лицам только с письменного согласия Раскрывающей стороны и при условии, что такие вышеуказанные лица подписали с Принимающей стороной соглашение о неразглашении Конфиденциальной информации.</w:t>
      </w:r>
    </w:p>
    <w:p w14:paraId="0000002C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 вправе раскрывать Конфиденциальную информацию без согласия Раскрывающей стороны в случаях, когда обязанность такого раскрытия установлена законодательством РФ. При этом Принимающая сторона письменно уведомляет о таких фактах Раскрывающую сторону в течение 1 (одного) рабочего дня с момента получения запроса на раскрытие.</w:t>
      </w:r>
    </w:p>
    <w:p w14:paraId="0000002D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Принимающей стороне станет известно о факте раскрытия Конфиденциальной информации третьим лицам, она должна незамедлительно сообщить об этом Раскрывающей стороне.</w:t>
      </w:r>
    </w:p>
    <w:p w14:paraId="0000002E" w14:textId="77777777" w:rsidR="00517BF4" w:rsidRDefault="00000000">
      <w:pPr>
        <w:numPr>
          <w:ilvl w:val="1"/>
          <w:numId w:val="1"/>
        </w:numPr>
        <w:spacing w:before="200" w:after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 обязуется незамедлительно вернуть Конфиденциальную информацию и/или материальные носители, на которых она храниться, по требованию Раскрывающей Стороны. Любая Конфиденциальная информация, не истребованная вышеуказанным способом, будет храниться Принимающей Стороной с соблюдением требований Соглашения, либо уничтожена по согласованию с Раскрывающей Стороной.</w:t>
      </w:r>
    </w:p>
    <w:p w14:paraId="0000002F" w14:textId="5CF2E7F0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sdt>
        <w:sdtPr>
          <w:tag w:val="goog_rdk_1"/>
          <w:id w:val="-1499262357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Принимающая Сторона разгласит Конфиденциальную информацию третьим лицам, то Раскрывающая сторона вправе потребовать выплаты штрафа в размере 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100 000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сто тысяч</w:t>
      </w:r>
      <w:r>
        <w:rPr>
          <w:rFonts w:ascii="Times New Roman" w:eastAsia="Times New Roman" w:hAnsi="Times New Roman" w:cs="Times New Roman"/>
          <w:sz w:val="24"/>
          <w:szCs w:val="24"/>
        </w:rPr>
        <w:t>) рублей за каждый случай разглашения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возмещения убытков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00000031" w14:textId="287828B6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Соглашение вступает в силу с даты его подписания Сторонами и действует в течение 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>) лет.</w:t>
      </w:r>
    </w:p>
    <w:p w14:paraId="00000032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разрешают споры в соответствии с законодательством РФ в Арбитражном суде г. Москвы.</w:t>
      </w:r>
    </w:p>
    <w:p w14:paraId="00000033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Любая Сторона не вправе передавать свои права и обязанности по Соглашению третьим лицам без предварительного письменного согласия другой Стороны.</w:t>
      </w:r>
    </w:p>
    <w:p w14:paraId="00000034" w14:textId="77777777" w:rsidR="00517BF4" w:rsidRDefault="00000000">
      <w:pPr>
        <w:numPr>
          <w:ilvl w:val="1"/>
          <w:numId w:val="1"/>
        </w:numPr>
        <w:spacing w:before="200"/>
        <w:ind w:right="4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признают надлежащим подписание Соглашения путем обмена отсканированными копиями по электронной почте. Такие документы приравниваются к документам на бумажном носителе. Для обмена документами должны использоваться адреса Сторон, согласованные в реквизитах Соглашения. </w:t>
      </w:r>
    </w:p>
    <w:p w14:paraId="00000035" w14:textId="77777777" w:rsidR="00517B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ffff7"/>
        <w:tblW w:w="8325" w:type="dxa"/>
        <w:tblInd w:w="7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245"/>
      </w:tblGrid>
      <w:tr w:rsidR="00517BF4" w14:paraId="3A1050BB" w14:textId="77777777">
        <w:trPr>
          <w:trHeight w:val="440"/>
        </w:trPr>
        <w:tc>
          <w:tcPr>
            <w:tcW w:w="4080" w:type="dxa"/>
            <w:tcBorders>
              <w:lef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Раскрывающая сторона</w:t>
            </w:r>
          </w:p>
        </w:tc>
        <w:tc>
          <w:tcPr>
            <w:tcW w:w="4245" w:type="dxa"/>
            <w:tcBorders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Принимающая сторона</w:t>
            </w:r>
          </w:p>
        </w:tc>
      </w:tr>
      <w:tr w:rsidR="00517BF4" w14:paraId="1EF5F1DF" w14:textId="77777777">
        <w:trPr>
          <w:trHeight w:val="440"/>
        </w:trPr>
        <w:tc>
          <w:tcPr>
            <w:tcW w:w="408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517BF4" w:rsidRDefault="00000000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«СОДИС ЛАБ»</w:t>
            </w:r>
          </w:p>
          <w:p w14:paraId="00000039" w14:textId="77777777" w:rsidR="00517BF4" w:rsidRDefault="0000000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Адрес: 121205, г. Москва, Территория Инновационного центра «Сколково», ул. Нобеля, д. 5</w:t>
            </w:r>
          </w:p>
          <w:p w14:paraId="0000003A" w14:textId="77777777" w:rsidR="00517BF4" w:rsidRDefault="00517BF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B" w14:textId="77777777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ИНН: 7726682300,</w:t>
            </w:r>
          </w:p>
          <w:p w14:paraId="0000003C" w14:textId="77777777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1117746704570</w:t>
            </w:r>
          </w:p>
          <w:p w14:paraId="0000003D" w14:textId="77777777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КПП: 773101001</w:t>
            </w:r>
          </w:p>
          <w:p w14:paraId="0000003E" w14:textId="77777777" w:rsidR="00517BF4" w:rsidRDefault="00000000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________________</w:t>
            </w:r>
          </w:p>
          <w:p w14:paraId="0000003F" w14:textId="77777777" w:rsidR="00517BF4" w:rsidRDefault="00000000">
            <w:pPr>
              <w:shd w:val="clear" w:color="auto" w:fill="FFFFFF"/>
              <w:spacing w:line="27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</w:t>
            </w:r>
          </w:p>
          <w:p w14:paraId="00000040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1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2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0000043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4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 А.М. Шахраманьян</w:t>
            </w:r>
          </w:p>
          <w:p w14:paraId="00000045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 ___________</w:t>
            </w:r>
          </w:p>
          <w:p w14:paraId="00000047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Адрес: ____________</w:t>
            </w:r>
          </w:p>
          <w:p w14:paraId="00000049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A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B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 _____</w:t>
            </w:r>
          </w:p>
          <w:p w14:paraId="0000004C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</w:t>
            </w:r>
          </w:p>
          <w:p w14:paraId="0000004D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</w:t>
            </w:r>
          </w:p>
          <w:p w14:paraId="0000004E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F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0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__________</w:t>
            </w:r>
          </w:p>
          <w:p w14:paraId="00000051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</w:t>
            </w:r>
          </w:p>
          <w:p w14:paraId="00000052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3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4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5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00000056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7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 ___________</w:t>
            </w:r>
          </w:p>
          <w:p w14:paraId="00000058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059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sectPr w:rsidR="00517BF4">
      <w:headerReference w:type="default" r:id="rId8"/>
      <w:footerReference w:type="default" r:id="rId9"/>
      <w:pgSz w:w="11909" w:h="16834"/>
      <w:pgMar w:top="584" w:right="995" w:bottom="103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D826" w14:textId="77777777" w:rsidR="001C33F3" w:rsidRDefault="001C33F3">
      <w:pPr>
        <w:spacing w:line="240" w:lineRule="auto"/>
      </w:pPr>
      <w:r>
        <w:separator/>
      </w:r>
    </w:p>
  </w:endnote>
  <w:endnote w:type="continuationSeparator" w:id="0">
    <w:p w14:paraId="2A844351" w14:textId="77777777" w:rsidR="001C33F3" w:rsidRDefault="001C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517BF4" w:rsidRDefault="00517BF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F63A" w14:textId="77777777" w:rsidR="001C33F3" w:rsidRDefault="001C33F3">
      <w:pPr>
        <w:spacing w:line="240" w:lineRule="auto"/>
      </w:pPr>
      <w:r>
        <w:separator/>
      </w:r>
    </w:p>
  </w:footnote>
  <w:footnote w:type="continuationSeparator" w:id="0">
    <w:p w14:paraId="52497C71" w14:textId="77777777" w:rsidR="001C33F3" w:rsidRDefault="001C3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517BF4" w:rsidRDefault="00517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849"/>
    <w:multiLevelType w:val="multilevel"/>
    <w:tmpl w:val="112C3AD4"/>
    <w:lvl w:ilvl="0">
      <w:start w:val="1"/>
      <w:numFmt w:val="decimal"/>
      <w:lvlText w:val="%1."/>
      <w:lvlJc w:val="left"/>
      <w:pPr>
        <w:ind w:left="708" w:hanging="708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6E977854"/>
    <w:multiLevelType w:val="multilevel"/>
    <w:tmpl w:val="46A48A26"/>
    <w:lvl w:ilvl="0">
      <w:start w:val="1"/>
      <w:numFmt w:val="decimal"/>
      <w:lvlText w:val="%1."/>
      <w:lvlJc w:val="right"/>
      <w:pPr>
        <w:ind w:left="708" w:hanging="566"/>
      </w:pPr>
      <w:rPr>
        <w:rFonts w:ascii="Times New Roman" w:eastAsia="Times New Roman" w:hAnsi="Times New Roman" w:cs="Times New Roman"/>
        <w:b/>
        <w:bCs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708" w:hanging="425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1559" w:hanging="283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15434558">
    <w:abstractNumId w:val="1"/>
  </w:num>
  <w:num w:numId="2" w16cid:durableId="3362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F4"/>
    <w:rsid w:val="00163C80"/>
    <w:rsid w:val="001C33F3"/>
    <w:rsid w:val="001F3002"/>
    <w:rsid w:val="003F21D0"/>
    <w:rsid w:val="005143CB"/>
    <w:rsid w:val="00517BF4"/>
    <w:rsid w:val="00691D63"/>
    <w:rsid w:val="006A2793"/>
    <w:rsid w:val="00A23B20"/>
    <w:rsid w:val="00BC268C"/>
    <w:rsid w:val="00C635C5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767"/>
  <w15:docId w15:val="{6B0CFB01-1F34-9D40-B31C-B57949C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1610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10BA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1610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610BA"/>
    <w:pPr>
      <w:spacing w:line="240" w:lineRule="auto"/>
    </w:p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B27FD6"/>
    <w:rPr>
      <w:b/>
      <w:bCs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B27FD6"/>
    <w:rPr>
      <w:b/>
      <w:bCs/>
      <w:sz w:val="20"/>
      <w:szCs w:val="20"/>
    </w:rPr>
  </w:style>
  <w:style w:type="table" w:customStyle="1" w:styleId="af7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4">
    <w:name w:val="Hyperlink"/>
    <w:basedOn w:val="a0"/>
    <w:uiPriority w:val="99"/>
    <w:unhideWhenUsed/>
    <w:rsid w:val="00694DC7"/>
    <w:rPr>
      <w:color w:val="0000FF" w:themeColor="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694DC7"/>
    <w:rPr>
      <w:color w:val="605E5C"/>
      <w:shd w:val="clear" w:color="auto" w:fill="E1DFDD"/>
    </w:rPr>
  </w:style>
  <w:style w:type="paragraph" w:styleId="aff6">
    <w:name w:val="List Paragraph"/>
    <w:basedOn w:val="a"/>
    <w:uiPriority w:val="34"/>
    <w:qFormat/>
    <w:rsid w:val="00FC3C97"/>
    <w:pPr>
      <w:ind w:left="720"/>
      <w:contextualSpacing/>
    </w:pPr>
  </w:style>
  <w:style w:type="table" w:customStyle="1" w:styleId="aff7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HR/y2wAQM+rAVVJKPyuWibzzA==">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mkyatova</dc:creator>
  <cp:lastModifiedBy>Артур Бабалов</cp:lastModifiedBy>
  <cp:revision>12</cp:revision>
  <dcterms:created xsi:type="dcterms:W3CDTF">2021-08-16T13:13:00Z</dcterms:created>
  <dcterms:modified xsi:type="dcterms:W3CDTF">2023-09-19T11:59:00Z</dcterms:modified>
</cp:coreProperties>
</file>